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mission and goals of Hillsborough Community College.   </w:t>
      </w:r>
      <w:hyperlink r:id="rId5" w:history="1">
        <w:r w:rsidR="00EF22D0" w:rsidRPr="00E04AEF">
          <w:rPr>
            <w:rStyle w:val="Hyperlink"/>
          </w:rPr>
          <w:t>http://www.hccfl.edu/mission-and-vision</w:t>
        </w:r>
      </w:hyperlink>
      <w:r w:rsidR="00D47956">
        <w:rPr>
          <w:rStyle w:val="Hyperlink"/>
        </w:rPr>
        <w:t xml:space="preserve"> </w:t>
      </w:r>
      <w:r w:rsidR="00D47956">
        <w:rPr>
          <w:rStyle w:val="Hyperlink"/>
          <w:u w:val="none"/>
        </w:rPr>
        <w:t xml:space="preserve"> </w:t>
      </w:r>
      <w:r w:rsidR="00D47956" w:rsidRPr="00D47956">
        <w:t xml:space="preserve">RFE </w:t>
      </w:r>
      <w:r w:rsidR="00D47956">
        <w:t xml:space="preserve">applications will be reviewed </w:t>
      </w:r>
      <w:proofErr w:type="gramStart"/>
      <w:r w:rsidR="00D47956">
        <w:t>an</w:t>
      </w:r>
      <w:proofErr w:type="gramEnd"/>
      <w:r w:rsidR="00D47956">
        <w:t xml:space="preserve"> prioritized for funding by a committee made up of HCC faculty and staff representing all campuses.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 xml:space="preserve">Fall Semester - </w:t>
      </w:r>
      <w:r w:rsidR="006D57F9">
        <w:rPr>
          <w:b/>
        </w:rPr>
        <w:t>Tuesday</w:t>
      </w:r>
      <w:r w:rsidRPr="00EF22D0">
        <w:rPr>
          <w:b/>
        </w:rPr>
        <w:t xml:space="preserve">, </w:t>
      </w:r>
      <w:r w:rsidR="00181699">
        <w:rPr>
          <w:b/>
        </w:rPr>
        <w:t>October 3</w:t>
      </w:r>
      <w:r w:rsidR="00FD31F6">
        <w:rPr>
          <w:b/>
        </w:rPr>
        <w:t>0</w:t>
      </w:r>
      <w:r w:rsidRPr="00EF22D0">
        <w:rPr>
          <w:b/>
        </w:rPr>
        <w:t>, 201</w:t>
      </w:r>
      <w:r w:rsidR="00D47956">
        <w:rPr>
          <w:b/>
        </w:rPr>
        <w:t>8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- </w:t>
      </w:r>
      <w:r w:rsidR="006D57F9">
        <w:rPr>
          <w:b/>
        </w:rPr>
        <w:t>Tuesday</w:t>
      </w:r>
      <w:r w:rsidR="00181699">
        <w:rPr>
          <w:b/>
        </w:rPr>
        <w:t xml:space="preserve">, April </w:t>
      </w:r>
      <w:r w:rsidR="00FD31F6">
        <w:rPr>
          <w:b/>
        </w:rPr>
        <w:t>2, 201</w:t>
      </w:r>
      <w:r w:rsidR="00D47956">
        <w:rPr>
          <w:b/>
        </w:rPr>
        <w:t>9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</w:t>
      </w:r>
      <w:proofErr w:type="gramStart"/>
      <w:r>
        <w:t>are not intended</w:t>
      </w:r>
      <w:proofErr w:type="gramEnd"/>
      <w:r>
        <w:t xml:space="preserve">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 xml:space="preserve">5.  No portion of the award </w:t>
      </w:r>
      <w:proofErr w:type="gramStart"/>
      <w:r>
        <w:t>can be used</w:t>
      </w:r>
      <w:proofErr w:type="gramEnd"/>
      <w:r>
        <w:t xml:space="preserve">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Scan and email the completed and approved application to </w:t>
      </w:r>
      <w:hyperlink r:id="rId6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30467" w:rsidRDefault="00300DEB" w:rsidP="00300DEB">
      <w:pPr>
        <w:pStyle w:val="NoSpacing"/>
        <w:rPr>
          <w:b/>
        </w:rPr>
      </w:pPr>
      <w:r w:rsidRPr="00C30467">
        <w:rPr>
          <w:b/>
        </w:rPr>
        <w:t>Resources for Excellence</w:t>
      </w:r>
    </w:p>
    <w:p w:rsidR="00300DEB" w:rsidRDefault="00300DEB" w:rsidP="00300DEB"/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Pr="00300DEB" w:rsidRDefault="00181699" w:rsidP="00300DEB">
      <w:pPr>
        <w:rPr>
          <w:b/>
        </w:rPr>
      </w:pPr>
      <w:r>
        <w:rPr>
          <w:b/>
        </w:rPr>
        <w:t xml:space="preserve">5. </w:t>
      </w:r>
      <w:r w:rsidRPr="00300DEB">
        <w:rPr>
          <w:b/>
        </w:rPr>
        <w:t>Please describe your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:rsidR="00300DEB" w:rsidRDefault="00300DEB" w:rsidP="00300DEB"/>
    <w:p w:rsidR="00181699" w:rsidRDefault="00181699" w:rsidP="00300DEB"/>
    <w:p w:rsidR="00300DEB" w:rsidRDefault="00300DEB" w:rsidP="00300DEB"/>
    <w:p w:rsidR="00300DEB" w:rsidRDefault="00181699" w:rsidP="00300DEB">
      <w:pPr>
        <w:rPr>
          <w:b/>
        </w:rPr>
      </w:pPr>
      <w:r>
        <w:rPr>
          <w:b/>
        </w:rPr>
        <w:t>6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>7.  Describe the need or problem to be addressed by this project.</w:t>
      </w:r>
    </w:p>
    <w:p w:rsidR="00F36F63" w:rsidRPr="00300DEB" w:rsidRDefault="00F36F63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>. How does your project support institutional goals</w:t>
      </w:r>
      <w:r w:rsidR="00D47956">
        <w:rPr>
          <w:b/>
        </w:rPr>
        <w:t xml:space="preserve"> (be specific)</w:t>
      </w:r>
      <w:r w:rsidR="00300DEB" w:rsidRPr="00300DEB">
        <w:rPr>
          <w:b/>
        </w:rPr>
        <w:t>?</w:t>
      </w:r>
    </w:p>
    <w:p w:rsidR="00300DEB" w:rsidRDefault="00300DEB" w:rsidP="00300DEB">
      <w:r>
        <w:t xml:space="preserve"> </w:t>
      </w:r>
    </w:p>
    <w:p w:rsidR="00300DEB" w:rsidRDefault="00300DEB" w:rsidP="00300DEB"/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Default="00300DEB" w:rsidP="00300DEB"/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300DEB"/>
    <w:p w:rsidR="00300DEB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Pr="00300DEB">
        <w:rPr>
          <w:b/>
        </w:rPr>
        <w:t xml:space="preserve">Describe how funds will </w:t>
      </w:r>
      <w:r w:rsidR="00713B36">
        <w:rPr>
          <w:b/>
        </w:rPr>
        <w:t>be budgeted</w:t>
      </w:r>
      <w:r w:rsidRPr="00300DEB">
        <w:rPr>
          <w:b/>
        </w:rPr>
        <w:t xml:space="preserve"> to help meet the goals of your proj</w:t>
      </w:r>
      <w:r>
        <w:rPr>
          <w:b/>
        </w:rPr>
        <w:t xml:space="preserve">ect. </w:t>
      </w:r>
      <w:r w:rsidR="00181699">
        <w:rPr>
          <w:b/>
        </w:rPr>
        <w:t>Provide details on</w:t>
      </w:r>
      <w:r w:rsidR="00EF22D0" w:rsidRPr="00713B36">
        <w:rPr>
          <w:b/>
        </w:rPr>
        <w:t xml:space="preserve"> how the funds will be spent.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181699" w:rsidRDefault="00181699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300DEB" w:rsidRDefault="00300DEB" w:rsidP="00300DEB">
      <w:pPr>
        <w:rPr>
          <w:b/>
        </w:rPr>
      </w:pPr>
    </w:p>
    <w:p w:rsidR="00713B36" w:rsidRPr="00300DEB" w:rsidRDefault="00713B36" w:rsidP="00300DEB">
      <w:pPr>
        <w:rPr>
          <w:b/>
        </w:rPr>
      </w:pPr>
    </w:p>
    <w:p w:rsidR="00583491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 and what was the outcome?</w:t>
      </w:r>
      <w:r w:rsidR="00583491">
        <w:rPr>
          <w:b/>
        </w:rPr>
        <w:br w:type="page"/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713B36">
        <w:rPr>
          <w:b/>
        </w:rPr>
        <w:t>3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______    Yes               _____</w:t>
      </w:r>
      <w:proofErr w:type="gramStart"/>
      <w:r>
        <w:t>_  No</w:t>
      </w:r>
      <w:proofErr w:type="gramEnd"/>
    </w:p>
    <w:p w:rsidR="00300DEB" w:rsidRDefault="00300DEB" w:rsidP="00300DEB"/>
    <w:p w:rsidR="00300DEB" w:rsidRDefault="00300DEB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713B36">
        <w:rPr>
          <w:b/>
        </w:rPr>
        <w:t>4</w:t>
      </w:r>
      <w:r w:rsidRPr="00300DEB">
        <w:rPr>
          <w:b/>
        </w:rPr>
        <w:t xml:space="preserve">. TO BE COMPLETED BY DEAN OR ADMINISTRATIVE </w:t>
      </w:r>
      <w:r>
        <w:rPr>
          <w:b/>
        </w:rPr>
        <w:t>SUPERVISOR</w:t>
      </w:r>
      <w:r w:rsidRPr="00300DEB">
        <w:rPr>
          <w:b/>
        </w:rPr>
        <w:t>.</w:t>
      </w:r>
    </w:p>
    <w:p w:rsidR="00300DEB" w:rsidRDefault="00300DEB" w:rsidP="00300DEB">
      <w:r>
        <w:t xml:space="preserve">       I have reviewed this application and approve this project.  By selecting "YES" below, I agree to serve as the budget supervisor if this project is selected for funding.  </w:t>
      </w:r>
    </w:p>
    <w:p w:rsidR="00300DEB" w:rsidRDefault="00300DEB" w:rsidP="00300DEB">
      <w:r>
        <w:t>______    Yes                 ______ No</w:t>
      </w:r>
    </w:p>
    <w:p w:rsidR="00300DEB" w:rsidRDefault="00300DEB" w:rsidP="00300DEB"/>
    <w:p w:rsidR="00300DEB" w:rsidRDefault="00300DEB" w:rsidP="00300DEB"/>
    <w:p w:rsidR="00300DEB" w:rsidRDefault="00300DEB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>
      <w:r>
        <w:br w:type="page"/>
      </w:r>
    </w:p>
    <w:p w:rsidR="00F1465D" w:rsidRDefault="00F1465D" w:rsidP="00F1465D">
      <w:pPr>
        <w:pStyle w:val="Default"/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HCC Mission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Hillsborough Community College delivers teaching and learning opportunities that empower students to achieve their educational goals and become contributing members of the local community and a global society.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Hillsborough Community College will excel in proactively responding to the evolving educational needs of our students, staff, workforce, and community through assessment and continuous improvement.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College Goals and Strategic Initiatives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29, 2014 </w:t>
      </w:r>
    </w:p>
    <w:p w:rsidR="00F1465D" w:rsidRDefault="00F1465D" w:rsidP="00F1465D">
      <w:pPr>
        <w:pStyle w:val="Default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1. Student Success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Craig Johnson, Ken Ray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Advance success for all students through the measurable achievement of learning outcomes and educational goals.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Meet or exceed the state retention rate of students enrolled in degree programs.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Meet or exceed the state graduation rate of students enrolled in the Associate of Arts program.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Increase the percentage of students declaring a program of study upon entry and complete an educational plan.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D. Implement proactive academic advising assisted by college-wide implementation of degree audit and early alert systems.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E. Expand professional development opportunities for employees to support and enhance formal advising.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2. Workforce Development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Ginger Clark, Craig Johnson, Nancee Sorenson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Foster partnerships that position workforce programs as a catalyst for broader economic development within the region.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Reexamine the complete array of program offerings to ensure they are responsive to community need and workforce demands.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Explore the feasibility and institutional impact of baccalaureate degrees in fields of unmet need.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Enhance a consistent career advising system, including career counseling, which actively engages students and employers.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3. Sustainable Operations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Ginger Clark, Al Erdman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Develop a college-wide direction that sets the standard for sustainability for the efficient stewardship of resources, both natural and fiscal, that are respectful of future generations.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firstLine="360"/>
      </w:pPr>
      <w:r>
        <w:rPr>
          <w:sz w:val="22"/>
          <w:szCs w:val="22"/>
        </w:rPr>
        <w:t>A. Create an Office of Sustainability.</w:t>
      </w:r>
      <w:r w:rsidRPr="003852DC">
        <w:t xml:space="preserve">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Leverage technology to streamline administrative processes and reduce the percentage of budgeted expenditures for overhead functions.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Improve efficiency and resilience of facilities and infrastructure. </w:t>
      </w:r>
    </w:p>
    <w:p w:rsidR="00F1465D" w:rsidRDefault="00F1465D" w:rsidP="00F1465D">
      <w:pPr>
        <w:pStyle w:val="Default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4. Cultural Inclusion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Champion: Joan Holmes, Allen Witt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Foster an inclusive college climate that welcomes, celebrates, and promotes respect for participation and contributions of all students and employees.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Promote hiring practices that will result in a racially and ethnically diverse faculty that is more reflective of the student body profile.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Promote, value and celebrate inclusion and diversity for students and employees through classroom learning, events and activities to improve campus climate.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5. Continuous Improvement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Paul Nagy, Craig Johnson, Ken Ray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Continuously improve programs and services through a systematic and ongoing process of strategic planning, assessment and evaluation in which a “culture of evidence” guides our direction.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Successfully complete the decennial reaffirmation of college accreditation to maintain compliance with the requirements and standards of the Southern Association of Colleges &amp; Schools.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Improve satisfaction with the provision of student services in course registration, financial aid, and academic advising.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Implement a coordinated college-wide, data-driven approach to class scheduling to optimize the time, location, and delivery methods for courses and programs across campuses. </w:t>
      </w:r>
    </w:p>
    <w:p w:rsidR="00F1465D" w:rsidRDefault="00F1465D" w:rsidP="00F1465D">
      <w:pPr>
        <w:pStyle w:val="Default"/>
        <w:pageBreakBefore/>
        <w:rPr>
          <w:sz w:val="22"/>
          <w:szCs w:val="22"/>
        </w:rPr>
      </w:pPr>
    </w:p>
    <w:p w:rsidR="00F1465D" w:rsidRDefault="00F1465D" w:rsidP="00F1465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Leverage technology to streamline administrative processes and reduce the percentage of budgeted expenditures for overhead functions.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Improve efficiency and resilience of facilities and infrastructure.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4. Cultural Inclusion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Champion: Joan Holmes, Allen Witt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Foster an inclusive college climate that welcomes, celebrates, and promotes respect for participation and contributions of all students and employees.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Promote hiring practices that will result in a racially and ethnically diverse faculty that is more reflective of the student body profile.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Promote, value and celebrate inclusion and diversity for students and employees through classroom learning, events and activities to improve campus climate.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5. Continuous Improvement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Paul Nagy, Craig Johnson, Ken Ray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Continuously improve programs and services through a systematic and ongoing process of strategic planning, assessment and evaluation in which a “culture of evidence” guides our direction.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Successfully complete the decennial reaffirmation of college accreditation to maintain compliance with the requirements and standards of the Southern Association of Colleges &amp; Schools.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Improve satisfaction with the provision of student services in course registration, financial aid, and academic advising.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Implement a coordinated college-wide, data-driven approach to class scheduling to optimize the time, location, and delivery methods for courses and programs across campuses.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D. Enhance processes to assess curricula and identify best practices for teaching and learning. </w:t>
      </w:r>
    </w:p>
    <w:p w:rsidR="00F1465D" w:rsidRDefault="00F1465D" w:rsidP="00F1465D"/>
    <w:p w:rsidR="00CB7D08" w:rsidRDefault="00856068" w:rsidP="00300DEB"/>
    <w:sectPr w:rsidR="00CB7D08" w:rsidSect="00713B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1559CA"/>
    <w:rsid w:val="0017643B"/>
    <w:rsid w:val="00181699"/>
    <w:rsid w:val="0025475C"/>
    <w:rsid w:val="00292401"/>
    <w:rsid w:val="00297464"/>
    <w:rsid w:val="00300DEB"/>
    <w:rsid w:val="00553063"/>
    <w:rsid w:val="00583491"/>
    <w:rsid w:val="00594A01"/>
    <w:rsid w:val="006D57F9"/>
    <w:rsid w:val="00713B36"/>
    <w:rsid w:val="00BE2A79"/>
    <w:rsid w:val="00C02472"/>
    <w:rsid w:val="00C30467"/>
    <w:rsid w:val="00CD44F9"/>
    <w:rsid w:val="00D47956"/>
    <w:rsid w:val="00E52B01"/>
    <w:rsid w:val="00EF22D0"/>
    <w:rsid w:val="00F1465D"/>
    <w:rsid w:val="00F36F63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E66E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hccfl.edu" TargetMode="External"/><Relationship Id="rId5" Type="http://schemas.openxmlformats.org/officeDocument/2006/relationships/hyperlink" Target="http://www.hccfl.edu/mission-and-visio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Bulnes, Josette</cp:lastModifiedBy>
  <cp:revision>2</cp:revision>
  <dcterms:created xsi:type="dcterms:W3CDTF">2019-02-07T17:33:00Z</dcterms:created>
  <dcterms:modified xsi:type="dcterms:W3CDTF">2019-02-07T17:33:00Z</dcterms:modified>
</cp:coreProperties>
</file>